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89312" w14:textId="77777777" w:rsidR="00BD1464" w:rsidRDefault="00BD1464">
      <w:pPr>
        <w:widowControl w:val="0"/>
        <w:pBdr>
          <w:top w:val="nil"/>
          <w:left w:val="nil"/>
          <w:bottom w:val="nil"/>
          <w:right w:val="nil"/>
          <w:between w:val="nil"/>
        </w:pBdr>
        <w:spacing w:after="0" w:line="276" w:lineRule="auto"/>
        <w:rPr>
          <w:rFonts w:ascii="Arial" w:eastAsia="Arial" w:hAnsi="Arial" w:cs="Arial"/>
          <w:color w:val="000000"/>
          <w:sz w:val="20"/>
          <w:szCs w:val="20"/>
        </w:rPr>
      </w:pPr>
    </w:p>
    <w:tbl>
      <w:tblPr>
        <w:tblStyle w:val="a0"/>
        <w:tblW w:w="104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BD1464" w14:paraId="3F7EF3C2" w14:textId="77777777">
        <w:trPr>
          <w:trHeight w:val="2680"/>
        </w:trPr>
        <w:tc>
          <w:tcPr>
            <w:tcW w:w="10456" w:type="dxa"/>
            <w:tcBorders>
              <w:top w:val="nil"/>
              <w:left w:val="nil"/>
              <w:bottom w:val="single" w:sz="4" w:space="0" w:color="984806"/>
              <w:right w:val="nil"/>
            </w:tcBorders>
            <w:shd w:val="clear" w:color="auto" w:fill="FFFFFF"/>
            <w:vAlign w:val="center"/>
          </w:tcPr>
          <w:p w14:paraId="233EE90A" w14:textId="77777777" w:rsidR="00BD1464" w:rsidRDefault="00D307E8">
            <w:pPr>
              <w:rPr>
                <w:rFonts w:ascii="Arial" w:eastAsia="Arial" w:hAnsi="Arial" w:cs="Arial"/>
                <w:color w:val="984806"/>
                <w:sz w:val="20"/>
                <w:szCs w:val="20"/>
              </w:rPr>
            </w:pPr>
            <w:r>
              <w:rPr>
                <w:noProof/>
              </w:rPr>
              <w:drawing>
                <wp:anchor distT="0" distB="0" distL="114300" distR="114300" simplePos="0" relativeHeight="251658240" behindDoc="0" locked="0" layoutInCell="1" hidden="0" allowOverlap="1" wp14:anchorId="4419DE3F" wp14:editId="2F7000D6">
                  <wp:simplePos x="0" y="0"/>
                  <wp:positionH relativeFrom="column">
                    <wp:posOffset>-68579</wp:posOffset>
                  </wp:positionH>
                  <wp:positionV relativeFrom="paragraph">
                    <wp:posOffset>0</wp:posOffset>
                  </wp:positionV>
                  <wp:extent cx="6649085" cy="168084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5" r="-146541" b="-3427"/>
                          <a:stretch>
                            <a:fillRect/>
                          </a:stretch>
                        </pic:blipFill>
                        <pic:spPr>
                          <a:xfrm>
                            <a:off x="0" y="0"/>
                            <a:ext cx="6649085" cy="1680845"/>
                          </a:xfrm>
                          <a:prstGeom prst="rect">
                            <a:avLst/>
                          </a:prstGeom>
                          <a:ln/>
                        </pic:spPr>
                      </pic:pic>
                    </a:graphicData>
                  </a:graphic>
                </wp:anchor>
              </w:drawing>
            </w:r>
          </w:p>
        </w:tc>
      </w:tr>
      <w:tr w:rsidR="00BD1464" w14:paraId="125B8884" w14:textId="77777777">
        <w:trPr>
          <w:trHeight w:val="560"/>
        </w:trPr>
        <w:tc>
          <w:tcPr>
            <w:tcW w:w="10456" w:type="dxa"/>
            <w:tcBorders>
              <w:top w:val="single" w:sz="4" w:space="0" w:color="984806"/>
              <w:left w:val="single" w:sz="4" w:space="0" w:color="984806"/>
              <w:bottom w:val="single" w:sz="4" w:space="0" w:color="984806"/>
              <w:right w:val="single" w:sz="4" w:space="0" w:color="984806"/>
            </w:tcBorders>
            <w:shd w:val="clear" w:color="auto" w:fill="FFFFFF"/>
            <w:vAlign w:val="center"/>
          </w:tcPr>
          <w:p w14:paraId="045A2C20" w14:textId="4543A00C" w:rsidR="00BD1464" w:rsidRPr="00DA6B1C" w:rsidRDefault="00DA6B1C">
            <w:pPr>
              <w:jc w:val="center"/>
              <w:rPr>
                <w:rFonts w:ascii="Garamond" w:eastAsia="Arial" w:hAnsi="Garamond" w:cs="Arial"/>
                <w:b/>
                <w:color w:val="984806"/>
              </w:rPr>
            </w:pPr>
            <w:r w:rsidRPr="00DA6B1C">
              <w:rPr>
                <w:rFonts w:ascii="Garamond" w:eastAsia="Arial" w:hAnsi="Garamond" w:cs="Arial"/>
                <w:b/>
                <w:sz w:val="24"/>
                <w:szCs w:val="24"/>
              </w:rPr>
              <w:t xml:space="preserve">PROJET DE PUBLICATION DE NUMÉRO THÉMATIQUE </w:t>
            </w:r>
          </w:p>
        </w:tc>
      </w:tr>
      <w:tr w:rsidR="00BD1464" w:rsidRPr="00DA6B1C" w14:paraId="496715B8" w14:textId="77777777">
        <w:trPr>
          <w:trHeight w:val="2840"/>
        </w:trPr>
        <w:tc>
          <w:tcPr>
            <w:tcW w:w="10456" w:type="dxa"/>
            <w:tcBorders>
              <w:top w:val="single" w:sz="4" w:space="0" w:color="984806"/>
              <w:left w:val="nil"/>
              <w:bottom w:val="nil"/>
              <w:right w:val="nil"/>
            </w:tcBorders>
            <w:vAlign w:val="center"/>
          </w:tcPr>
          <w:p w14:paraId="5C90EEF7" w14:textId="77777777" w:rsidR="00BD1464" w:rsidRPr="00DA6B1C" w:rsidRDefault="00BD1464">
            <w:pPr>
              <w:ind w:left="29"/>
              <w:jc w:val="both"/>
              <w:rPr>
                <w:rFonts w:ascii="Garamond" w:eastAsia="Arial" w:hAnsi="Garamond" w:cs="Arial"/>
                <w:sz w:val="24"/>
                <w:szCs w:val="24"/>
              </w:rPr>
            </w:pPr>
          </w:p>
          <w:p w14:paraId="3F2C70B8" w14:textId="77777777" w:rsidR="00BD1464" w:rsidRPr="00DA6B1C" w:rsidRDefault="00BD1464">
            <w:pPr>
              <w:ind w:left="29"/>
              <w:jc w:val="both"/>
              <w:rPr>
                <w:rFonts w:ascii="Garamond" w:eastAsia="Arial" w:hAnsi="Garamond" w:cs="Arial"/>
                <w:sz w:val="24"/>
                <w:szCs w:val="24"/>
              </w:rPr>
            </w:pPr>
          </w:p>
          <w:p w14:paraId="26ED0768" w14:textId="77777777" w:rsidR="00BD1464" w:rsidRPr="00DA6B1C" w:rsidRDefault="00D307E8">
            <w:pPr>
              <w:ind w:left="29"/>
              <w:jc w:val="both"/>
              <w:rPr>
                <w:rFonts w:ascii="Garamond" w:eastAsia="Arial" w:hAnsi="Garamond" w:cs="Arial"/>
                <w:sz w:val="24"/>
                <w:szCs w:val="24"/>
              </w:rPr>
            </w:pPr>
            <w:r w:rsidRPr="00DA6B1C">
              <w:rPr>
                <w:rFonts w:ascii="Garamond" w:eastAsia="Arial" w:hAnsi="Garamond" w:cs="Arial"/>
                <w:sz w:val="24"/>
                <w:szCs w:val="24"/>
              </w:rPr>
              <w:t xml:space="preserve">Ce document doit être remis à la rédaction de </w:t>
            </w:r>
            <w:r w:rsidRPr="00DA6B1C">
              <w:rPr>
                <w:rFonts w:ascii="Garamond" w:eastAsia="Arial" w:hAnsi="Garamond" w:cs="Arial"/>
                <w:i/>
                <w:sz w:val="24"/>
                <w:szCs w:val="24"/>
              </w:rPr>
              <w:t xml:space="preserve">Déméter </w:t>
            </w:r>
            <w:r w:rsidRPr="00DA6B1C">
              <w:rPr>
                <w:rFonts w:ascii="Garamond" w:eastAsia="Arial" w:hAnsi="Garamond" w:cs="Arial"/>
                <w:sz w:val="24"/>
                <w:szCs w:val="24"/>
              </w:rPr>
              <w:t xml:space="preserve">par le porteur du projet de publication. Il sera ensuite soumis au comité de rédaction de la revue. Il est possible de transmettre les informations sur un support libre (.doc, .odt, .pdf) en veillant cependant à respecter l’ordre des sections. </w:t>
            </w:r>
          </w:p>
          <w:p w14:paraId="6E41DBF9" w14:textId="77777777" w:rsidR="00BD1464" w:rsidRPr="00DA6B1C" w:rsidRDefault="00BD1464">
            <w:pPr>
              <w:ind w:left="29"/>
              <w:jc w:val="both"/>
              <w:rPr>
                <w:rFonts w:ascii="Garamond" w:eastAsia="Arial" w:hAnsi="Garamond" w:cs="Arial"/>
                <w:sz w:val="24"/>
                <w:szCs w:val="24"/>
              </w:rPr>
            </w:pPr>
          </w:p>
          <w:p w14:paraId="6FA0CC53" w14:textId="77777777" w:rsidR="00BD1464" w:rsidRPr="00DA6B1C" w:rsidRDefault="00D307E8">
            <w:pPr>
              <w:ind w:left="29"/>
              <w:jc w:val="both"/>
              <w:rPr>
                <w:rFonts w:ascii="Garamond" w:eastAsia="Arial" w:hAnsi="Garamond" w:cs="Arial"/>
                <w:sz w:val="24"/>
                <w:szCs w:val="24"/>
              </w:rPr>
            </w:pPr>
            <w:r w:rsidRPr="00DA6B1C">
              <w:rPr>
                <w:rFonts w:ascii="Garamond" w:eastAsia="Arial" w:hAnsi="Garamond" w:cs="Arial"/>
                <w:sz w:val="24"/>
                <w:szCs w:val="24"/>
              </w:rPr>
              <w:t xml:space="preserve">Chaque numéro devra faire l’objet d’un appel à contribution largement diffusé. En tant que revue, </w:t>
            </w:r>
            <w:r w:rsidRPr="00DA6B1C">
              <w:rPr>
                <w:rFonts w:ascii="Garamond" w:eastAsia="Arial" w:hAnsi="Garamond" w:cs="Arial"/>
                <w:i/>
                <w:sz w:val="24"/>
                <w:szCs w:val="24"/>
              </w:rPr>
              <w:t>Déméter</w:t>
            </w:r>
            <w:r w:rsidRPr="00DA6B1C">
              <w:rPr>
                <w:rFonts w:ascii="Garamond" w:eastAsia="Arial" w:hAnsi="Garamond" w:cs="Arial"/>
                <w:sz w:val="24"/>
                <w:szCs w:val="24"/>
              </w:rPr>
              <w:t xml:space="preserve"> se distingue d’une plateforme de mise en ligne d’actes scientifiques ; il est par conséquent nécessaire que tout projet de numéro thématique lié à un colloque ou une journée d’étude fasse l’objet d’un nouvel appel à publication ainsi que d’une refonte spécifique (sélection d’articles, réécritures, prise en compte des possibilités offertes par le support numérique, etc.) </w:t>
            </w:r>
          </w:p>
          <w:p w14:paraId="0EB89CF9" w14:textId="77777777" w:rsidR="00BD1464" w:rsidRDefault="00BD1464">
            <w:pPr>
              <w:jc w:val="both"/>
              <w:rPr>
                <w:rFonts w:ascii="Garamond" w:eastAsia="Arial" w:hAnsi="Garamond" w:cs="Arial"/>
                <w:sz w:val="24"/>
                <w:szCs w:val="24"/>
              </w:rPr>
            </w:pPr>
          </w:p>
          <w:p w14:paraId="06CB8983" w14:textId="77777777" w:rsidR="003B2289" w:rsidRPr="00DA6B1C" w:rsidRDefault="003B2289">
            <w:pPr>
              <w:jc w:val="both"/>
              <w:rPr>
                <w:rFonts w:ascii="Garamond" w:eastAsia="Arial" w:hAnsi="Garamond" w:cs="Arial"/>
                <w:sz w:val="24"/>
                <w:szCs w:val="24"/>
              </w:rPr>
            </w:pPr>
          </w:p>
        </w:tc>
      </w:tr>
      <w:tr w:rsidR="00BD1464" w:rsidRPr="00DA6B1C" w14:paraId="61C19390" w14:textId="77777777">
        <w:tc>
          <w:tcPr>
            <w:tcW w:w="10456" w:type="dxa"/>
            <w:tcBorders>
              <w:top w:val="nil"/>
              <w:left w:val="nil"/>
              <w:bottom w:val="nil"/>
              <w:right w:val="nil"/>
            </w:tcBorders>
            <w:shd w:val="clear" w:color="auto" w:fill="FDEADA"/>
            <w:vAlign w:val="center"/>
          </w:tcPr>
          <w:p w14:paraId="12B9175A" w14:textId="77777777" w:rsidR="00BD1464" w:rsidRPr="00DA6B1C" w:rsidRDefault="00D307E8">
            <w:pPr>
              <w:jc w:val="both"/>
              <w:rPr>
                <w:rFonts w:ascii="Garamond" w:eastAsia="Arial" w:hAnsi="Garamond" w:cs="Arial"/>
                <w:sz w:val="24"/>
                <w:szCs w:val="24"/>
              </w:rPr>
            </w:pPr>
            <w:r w:rsidRPr="00DA6B1C">
              <w:rPr>
                <w:rFonts w:ascii="Garamond" w:eastAsia="Arial" w:hAnsi="Garamond" w:cs="Arial"/>
                <w:sz w:val="24"/>
                <w:szCs w:val="24"/>
              </w:rPr>
              <w:t>I. Prénom et nom, laboratoire, statut et discipline du coordinateur principal (porteur de projet) du numéro thématique</w:t>
            </w:r>
          </w:p>
        </w:tc>
      </w:tr>
      <w:tr w:rsidR="00BD1464" w:rsidRPr="00DA6B1C" w14:paraId="6B2CA22C" w14:textId="77777777">
        <w:trPr>
          <w:trHeight w:val="700"/>
        </w:trPr>
        <w:tc>
          <w:tcPr>
            <w:tcW w:w="10456" w:type="dxa"/>
            <w:tcBorders>
              <w:top w:val="nil"/>
              <w:left w:val="nil"/>
              <w:bottom w:val="nil"/>
              <w:right w:val="nil"/>
            </w:tcBorders>
            <w:vAlign w:val="center"/>
          </w:tcPr>
          <w:p w14:paraId="5A46DA2C" w14:textId="77777777" w:rsidR="00BD1464" w:rsidRPr="00DA6B1C" w:rsidRDefault="00BD1464">
            <w:pPr>
              <w:rPr>
                <w:rFonts w:ascii="Garamond" w:eastAsia="Arial" w:hAnsi="Garamond" w:cs="Arial"/>
                <w:color w:val="4472C4"/>
                <w:sz w:val="24"/>
                <w:szCs w:val="24"/>
              </w:rPr>
            </w:pPr>
          </w:p>
        </w:tc>
      </w:tr>
      <w:tr w:rsidR="00BD1464" w:rsidRPr="00DA6B1C" w14:paraId="5033DAF2" w14:textId="77777777">
        <w:trPr>
          <w:trHeight w:val="180"/>
        </w:trPr>
        <w:tc>
          <w:tcPr>
            <w:tcW w:w="10456" w:type="dxa"/>
            <w:tcBorders>
              <w:top w:val="nil"/>
              <w:left w:val="nil"/>
              <w:bottom w:val="nil"/>
              <w:right w:val="nil"/>
            </w:tcBorders>
            <w:shd w:val="clear" w:color="auto" w:fill="FDEADA"/>
            <w:vAlign w:val="center"/>
          </w:tcPr>
          <w:p w14:paraId="2A566A2C" w14:textId="77777777" w:rsidR="00BD1464" w:rsidRPr="00DA6B1C" w:rsidRDefault="00D307E8">
            <w:pPr>
              <w:rPr>
                <w:rFonts w:ascii="Garamond" w:eastAsia="Arial" w:hAnsi="Garamond" w:cs="Arial"/>
                <w:color w:val="4472C4"/>
                <w:sz w:val="24"/>
                <w:szCs w:val="24"/>
              </w:rPr>
            </w:pPr>
            <w:r w:rsidRPr="00DA6B1C">
              <w:rPr>
                <w:rFonts w:ascii="Garamond" w:eastAsia="Arial" w:hAnsi="Garamond" w:cs="Arial"/>
                <w:sz w:val="24"/>
                <w:szCs w:val="24"/>
              </w:rPr>
              <w:t>II. Prénoms et noms, laboratoires, statuts et disciplines des éventuels coordinateurs associés</w:t>
            </w:r>
          </w:p>
        </w:tc>
      </w:tr>
      <w:tr w:rsidR="00BD1464" w:rsidRPr="00DA6B1C" w14:paraId="2FBD70D8" w14:textId="77777777">
        <w:trPr>
          <w:trHeight w:val="680"/>
        </w:trPr>
        <w:tc>
          <w:tcPr>
            <w:tcW w:w="10456" w:type="dxa"/>
            <w:tcBorders>
              <w:top w:val="nil"/>
              <w:left w:val="nil"/>
              <w:bottom w:val="nil"/>
              <w:right w:val="nil"/>
            </w:tcBorders>
            <w:vAlign w:val="center"/>
          </w:tcPr>
          <w:p w14:paraId="70636242" w14:textId="77777777" w:rsidR="00BD1464" w:rsidRPr="00DA6B1C" w:rsidRDefault="00BD1464">
            <w:pPr>
              <w:rPr>
                <w:rFonts w:ascii="Garamond" w:eastAsia="Arial" w:hAnsi="Garamond" w:cs="Arial"/>
                <w:color w:val="4472C4"/>
                <w:sz w:val="24"/>
                <w:szCs w:val="24"/>
              </w:rPr>
            </w:pPr>
          </w:p>
        </w:tc>
      </w:tr>
      <w:tr w:rsidR="00BD1464" w:rsidRPr="00DA6B1C" w14:paraId="1523D454" w14:textId="77777777">
        <w:tc>
          <w:tcPr>
            <w:tcW w:w="10456" w:type="dxa"/>
            <w:tcBorders>
              <w:top w:val="nil"/>
              <w:left w:val="nil"/>
              <w:bottom w:val="nil"/>
              <w:right w:val="nil"/>
            </w:tcBorders>
            <w:shd w:val="clear" w:color="auto" w:fill="FDEADA"/>
            <w:vAlign w:val="center"/>
          </w:tcPr>
          <w:p w14:paraId="119ED37B" w14:textId="77777777" w:rsidR="00BD1464" w:rsidRPr="00DA6B1C" w:rsidRDefault="00D307E8">
            <w:pPr>
              <w:rPr>
                <w:rFonts w:ascii="Garamond" w:eastAsia="Arial" w:hAnsi="Garamond" w:cs="Arial"/>
                <w:sz w:val="24"/>
                <w:szCs w:val="24"/>
              </w:rPr>
            </w:pPr>
            <w:r w:rsidRPr="00DA6B1C">
              <w:rPr>
                <w:rFonts w:ascii="Garamond" w:eastAsia="Arial" w:hAnsi="Garamond" w:cs="Arial"/>
                <w:sz w:val="24"/>
                <w:szCs w:val="24"/>
              </w:rPr>
              <w:t>III. Titre provisoire ou thématique générale du numéro envisagé</w:t>
            </w:r>
          </w:p>
        </w:tc>
      </w:tr>
      <w:tr w:rsidR="00BD1464" w:rsidRPr="00DA6B1C" w14:paraId="6C0364C6" w14:textId="77777777">
        <w:trPr>
          <w:trHeight w:val="660"/>
        </w:trPr>
        <w:tc>
          <w:tcPr>
            <w:tcW w:w="10456" w:type="dxa"/>
            <w:tcBorders>
              <w:top w:val="nil"/>
              <w:left w:val="nil"/>
              <w:bottom w:val="nil"/>
              <w:right w:val="nil"/>
            </w:tcBorders>
            <w:vAlign w:val="center"/>
          </w:tcPr>
          <w:p w14:paraId="1A95484D" w14:textId="77777777" w:rsidR="00BD1464" w:rsidRPr="00DA6B1C" w:rsidRDefault="00BD1464">
            <w:pPr>
              <w:rPr>
                <w:rFonts w:ascii="Garamond" w:eastAsia="Arial" w:hAnsi="Garamond" w:cs="Arial"/>
                <w:color w:val="4472C4"/>
                <w:sz w:val="24"/>
                <w:szCs w:val="24"/>
              </w:rPr>
            </w:pPr>
          </w:p>
        </w:tc>
      </w:tr>
      <w:tr w:rsidR="00BD1464" w:rsidRPr="00DA6B1C" w14:paraId="35B8623A" w14:textId="77777777">
        <w:trPr>
          <w:trHeight w:val="220"/>
        </w:trPr>
        <w:tc>
          <w:tcPr>
            <w:tcW w:w="10456" w:type="dxa"/>
            <w:tcBorders>
              <w:top w:val="nil"/>
              <w:left w:val="nil"/>
              <w:bottom w:val="nil"/>
              <w:right w:val="nil"/>
            </w:tcBorders>
            <w:shd w:val="clear" w:color="auto" w:fill="FDEADA"/>
            <w:vAlign w:val="center"/>
          </w:tcPr>
          <w:p w14:paraId="593DDF9D" w14:textId="77777777" w:rsidR="00BD1464" w:rsidRPr="00DA6B1C" w:rsidRDefault="00D307E8">
            <w:pPr>
              <w:rPr>
                <w:rFonts w:ascii="Garamond" w:eastAsia="Arial" w:hAnsi="Garamond" w:cs="Arial"/>
                <w:sz w:val="24"/>
                <w:szCs w:val="24"/>
              </w:rPr>
            </w:pPr>
            <w:r w:rsidRPr="00DA6B1C">
              <w:rPr>
                <w:rFonts w:ascii="Garamond" w:eastAsia="Arial" w:hAnsi="Garamond" w:cs="Arial"/>
                <w:sz w:val="24"/>
                <w:szCs w:val="24"/>
              </w:rPr>
              <w:t>IV. Laboratoires et institutions liés au projet de publication</w:t>
            </w:r>
          </w:p>
        </w:tc>
      </w:tr>
      <w:tr w:rsidR="00BD1464" w:rsidRPr="00DA6B1C" w14:paraId="0F6A3E28" w14:textId="77777777">
        <w:trPr>
          <w:trHeight w:val="760"/>
        </w:trPr>
        <w:tc>
          <w:tcPr>
            <w:tcW w:w="10456" w:type="dxa"/>
            <w:tcBorders>
              <w:top w:val="nil"/>
              <w:left w:val="nil"/>
              <w:bottom w:val="nil"/>
              <w:right w:val="nil"/>
            </w:tcBorders>
            <w:vAlign w:val="center"/>
          </w:tcPr>
          <w:p w14:paraId="7D9D1CE3" w14:textId="77777777" w:rsidR="00BD1464" w:rsidRPr="00DA6B1C" w:rsidRDefault="00BD1464">
            <w:pPr>
              <w:rPr>
                <w:rFonts w:ascii="Garamond" w:eastAsia="Arial" w:hAnsi="Garamond" w:cs="Arial"/>
                <w:color w:val="4472C4"/>
                <w:sz w:val="24"/>
                <w:szCs w:val="24"/>
              </w:rPr>
            </w:pPr>
          </w:p>
        </w:tc>
      </w:tr>
      <w:tr w:rsidR="00BD1464" w:rsidRPr="00DA6B1C" w14:paraId="063D5654" w14:textId="77777777">
        <w:tc>
          <w:tcPr>
            <w:tcW w:w="10456" w:type="dxa"/>
            <w:tcBorders>
              <w:top w:val="nil"/>
              <w:left w:val="nil"/>
              <w:bottom w:val="nil"/>
              <w:right w:val="nil"/>
            </w:tcBorders>
            <w:shd w:val="clear" w:color="auto" w:fill="FDEADA"/>
            <w:vAlign w:val="center"/>
          </w:tcPr>
          <w:p w14:paraId="79DF4A96" w14:textId="77777777" w:rsidR="00BD1464" w:rsidRPr="00DA6B1C" w:rsidRDefault="00D307E8">
            <w:pPr>
              <w:rPr>
                <w:rFonts w:ascii="Garamond" w:eastAsia="Arial" w:hAnsi="Garamond" w:cs="Arial"/>
                <w:sz w:val="24"/>
                <w:szCs w:val="24"/>
              </w:rPr>
            </w:pPr>
            <w:r w:rsidRPr="00DA6B1C">
              <w:rPr>
                <w:rFonts w:ascii="Garamond" w:eastAsia="Arial" w:hAnsi="Garamond" w:cs="Arial"/>
                <w:sz w:val="24"/>
                <w:szCs w:val="24"/>
              </w:rPr>
              <w:t>V. Inscription du numéro dans les perspectives de recherche de la revue</w:t>
            </w:r>
          </w:p>
        </w:tc>
      </w:tr>
      <w:tr w:rsidR="00BD1464" w:rsidRPr="00DA6B1C" w14:paraId="0EE455AC" w14:textId="77777777">
        <w:trPr>
          <w:trHeight w:val="760"/>
        </w:trPr>
        <w:tc>
          <w:tcPr>
            <w:tcW w:w="10456" w:type="dxa"/>
            <w:tcBorders>
              <w:top w:val="nil"/>
              <w:left w:val="nil"/>
              <w:bottom w:val="nil"/>
              <w:right w:val="nil"/>
            </w:tcBorders>
            <w:shd w:val="clear" w:color="auto" w:fill="FFFFFF"/>
            <w:vAlign w:val="center"/>
          </w:tcPr>
          <w:p w14:paraId="7A25957A" w14:textId="77777777" w:rsidR="00BD1464" w:rsidRPr="00DA6B1C" w:rsidRDefault="00BD1464">
            <w:pPr>
              <w:rPr>
                <w:rFonts w:ascii="Garamond" w:eastAsia="Arial" w:hAnsi="Garamond" w:cs="Arial"/>
                <w:sz w:val="24"/>
                <w:szCs w:val="24"/>
              </w:rPr>
            </w:pPr>
          </w:p>
        </w:tc>
      </w:tr>
      <w:tr w:rsidR="00BD1464" w:rsidRPr="00DA6B1C" w14:paraId="5B2F77CD" w14:textId="77777777">
        <w:trPr>
          <w:trHeight w:val="180"/>
        </w:trPr>
        <w:tc>
          <w:tcPr>
            <w:tcW w:w="10456" w:type="dxa"/>
            <w:tcBorders>
              <w:top w:val="nil"/>
              <w:left w:val="nil"/>
              <w:bottom w:val="nil"/>
              <w:right w:val="nil"/>
            </w:tcBorders>
            <w:shd w:val="clear" w:color="auto" w:fill="FDEADA"/>
            <w:vAlign w:val="center"/>
          </w:tcPr>
          <w:p w14:paraId="68B74DC5" w14:textId="77777777" w:rsidR="00BD1464" w:rsidRPr="00DA6B1C" w:rsidRDefault="00D307E8">
            <w:pPr>
              <w:rPr>
                <w:rFonts w:ascii="Garamond" w:eastAsia="Arial" w:hAnsi="Garamond" w:cs="Arial"/>
                <w:sz w:val="24"/>
                <w:szCs w:val="24"/>
              </w:rPr>
            </w:pPr>
            <w:r w:rsidRPr="00DA6B1C">
              <w:rPr>
                <w:rFonts w:ascii="Garamond" w:eastAsia="Arial" w:hAnsi="Garamond" w:cs="Arial"/>
                <w:sz w:val="24"/>
                <w:szCs w:val="24"/>
              </w:rPr>
              <w:t>VI. Description synthétique (1 à 2 pages) de la thématique : présentation, enjeux, axes, singularité</w:t>
            </w:r>
          </w:p>
        </w:tc>
      </w:tr>
      <w:tr w:rsidR="00BD1464" w:rsidRPr="00DA6B1C" w14:paraId="5D1D0EB7" w14:textId="77777777">
        <w:trPr>
          <w:trHeight w:val="760"/>
        </w:trPr>
        <w:tc>
          <w:tcPr>
            <w:tcW w:w="10456" w:type="dxa"/>
            <w:tcBorders>
              <w:top w:val="nil"/>
              <w:left w:val="nil"/>
              <w:bottom w:val="nil"/>
              <w:right w:val="nil"/>
            </w:tcBorders>
            <w:shd w:val="clear" w:color="auto" w:fill="FFFFFF"/>
            <w:vAlign w:val="center"/>
          </w:tcPr>
          <w:p w14:paraId="4713C944" w14:textId="77777777" w:rsidR="00BD1464" w:rsidRPr="00DA6B1C" w:rsidRDefault="00BD1464">
            <w:pPr>
              <w:rPr>
                <w:rFonts w:ascii="Garamond" w:eastAsia="Arial" w:hAnsi="Garamond" w:cs="Arial"/>
                <w:color w:val="4472C4"/>
                <w:sz w:val="24"/>
                <w:szCs w:val="24"/>
              </w:rPr>
            </w:pPr>
          </w:p>
        </w:tc>
      </w:tr>
      <w:tr w:rsidR="00BD1464" w:rsidRPr="00DA6B1C" w14:paraId="78CDD336" w14:textId="77777777">
        <w:trPr>
          <w:trHeight w:val="200"/>
        </w:trPr>
        <w:tc>
          <w:tcPr>
            <w:tcW w:w="10456" w:type="dxa"/>
            <w:tcBorders>
              <w:top w:val="nil"/>
              <w:left w:val="nil"/>
              <w:bottom w:val="nil"/>
              <w:right w:val="nil"/>
            </w:tcBorders>
            <w:shd w:val="clear" w:color="auto" w:fill="FDEADA"/>
            <w:vAlign w:val="center"/>
          </w:tcPr>
          <w:p w14:paraId="3ECA7A97" w14:textId="77777777" w:rsidR="00BD1464" w:rsidRPr="00DA6B1C" w:rsidRDefault="00D307E8">
            <w:pPr>
              <w:rPr>
                <w:rFonts w:ascii="Garamond" w:eastAsia="Arial" w:hAnsi="Garamond" w:cs="Arial"/>
                <w:color w:val="4472C4"/>
                <w:sz w:val="24"/>
                <w:szCs w:val="24"/>
              </w:rPr>
            </w:pPr>
            <w:r w:rsidRPr="00DA6B1C">
              <w:rPr>
                <w:rFonts w:ascii="Garamond" w:eastAsia="Arial" w:hAnsi="Garamond" w:cs="Arial"/>
                <w:sz w:val="24"/>
                <w:szCs w:val="24"/>
              </w:rPr>
              <w:t>VII. Bibliographie commentée</w:t>
            </w:r>
          </w:p>
        </w:tc>
      </w:tr>
      <w:tr w:rsidR="00BD1464" w:rsidRPr="00DA6B1C" w14:paraId="4C45AB32" w14:textId="77777777">
        <w:trPr>
          <w:trHeight w:val="760"/>
        </w:trPr>
        <w:tc>
          <w:tcPr>
            <w:tcW w:w="10456" w:type="dxa"/>
            <w:tcBorders>
              <w:top w:val="nil"/>
              <w:left w:val="nil"/>
              <w:bottom w:val="nil"/>
              <w:right w:val="nil"/>
            </w:tcBorders>
            <w:shd w:val="clear" w:color="auto" w:fill="FFFFFF"/>
            <w:vAlign w:val="center"/>
          </w:tcPr>
          <w:p w14:paraId="0B2CAF17" w14:textId="77777777" w:rsidR="00BD1464" w:rsidRPr="00DA6B1C" w:rsidRDefault="00BD1464">
            <w:pPr>
              <w:rPr>
                <w:rFonts w:ascii="Garamond" w:eastAsia="Arial" w:hAnsi="Garamond" w:cs="Arial"/>
                <w:color w:val="4472C4"/>
                <w:sz w:val="24"/>
                <w:szCs w:val="24"/>
              </w:rPr>
            </w:pPr>
          </w:p>
        </w:tc>
      </w:tr>
      <w:tr w:rsidR="00BD1464" w:rsidRPr="00DA6B1C" w14:paraId="5BE3A503" w14:textId="77777777">
        <w:trPr>
          <w:trHeight w:val="140"/>
        </w:trPr>
        <w:tc>
          <w:tcPr>
            <w:tcW w:w="10456" w:type="dxa"/>
            <w:tcBorders>
              <w:top w:val="nil"/>
              <w:left w:val="nil"/>
              <w:bottom w:val="nil"/>
              <w:right w:val="nil"/>
            </w:tcBorders>
            <w:shd w:val="clear" w:color="auto" w:fill="FDEADA"/>
            <w:vAlign w:val="center"/>
          </w:tcPr>
          <w:p w14:paraId="27C56C97" w14:textId="77777777" w:rsidR="00BD1464" w:rsidRPr="00DA6B1C" w:rsidRDefault="00D307E8">
            <w:pPr>
              <w:rPr>
                <w:rFonts w:ascii="Garamond" w:eastAsia="Arial" w:hAnsi="Garamond" w:cs="Arial"/>
                <w:sz w:val="24"/>
                <w:szCs w:val="24"/>
              </w:rPr>
            </w:pPr>
            <w:r w:rsidRPr="00DA6B1C">
              <w:rPr>
                <w:rFonts w:ascii="Garamond" w:eastAsia="Arial" w:hAnsi="Garamond" w:cs="Arial"/>
                <w:sz w:val="24"/>
                <w:szCs w:val="24"/>
              </w:rPr>
              <w:t>VIII. Contexte du projet de publication</w:t>
            </w:r>
          </w:p>
        </w:tc>
      </w:tr>
      <w:tr w:rsidR="00BD1464" w:rsidRPr="00DA6B1C" w14:paraId="6AB6ED39" w14:textId="77777777">
        <w:trPr>
          <w:trHeight w:val="680"/>
        </w:trPr>
        <w:tc>
          <w:tcPr>
            <w:tcW w:w="10456" w:type="dxa"/>
            <w:tcBorders>
              <w:top w:val="nil"/>
              <w:left w:val="nil"/>
              <w:bottom w:val="single" w:sz="4" w:space="0" w:color="FFFFFF"/>
              <w:right w:val="nil"/>
            </w:tcBorders>
            <w:shd w:val="clear" w:color="auto" w:fill="FFFFFF"/>
            <w:vAlign w:val="center"/>
          </w:tcPr>
          <w:p w14:paraId="7A4E78FB" w14:textId="77777777" w:rsidR="00332851" w:rsidRDefault="00332851">
            <w:pPr>
              <w:rPr>
                <w:rFonts w:ascii="Garamond" w:eastAsia="Arial" w:hAnsi="Garamond" w:cs="Arial"/>
                <w:sz w:val="24"/>
                <w:szCs w:val="24"/>
              </w:rPr>
            </w:pPr>
            <w:bookmarkStart w:id="0" w:name="_GoBack"/>
            <w:bookmarkEnd w:id="0"/>
          </w:p>
          <w:p w14:paraId="3964CA70" w14:textId="77777777" w:rsidR="00332851" w:rsidRPr="00DA6B1C" w:rsidRDefault="00332851">
            <w:pPr>
              <w:rPr>
                <w:rFonts w:ascii="Garamond" w:eastAsia="Arial" w:hAnsi="Garamond" w:cs="Arial"/>
                <w:sz w:val="24"/>
                <w:szCs w:val="24"/>
              </w:rPr>
            </w:pPr>
          </w:p>
        </w:tc>
      </w:tr>
      <w:tr w:rsidR="00BD1464" w:rsidRPr="00DA6B1C" w14:paraId="4A0D21E0" w14:textId="77777777">
        <w:trPr>
          <w:trHeight w:val="260"/>
        </w:trPr>
        <w:tc>
          <w:tcPr>
            <w:tcW w:w="10456" w:type="dxa"/>
            <w:tcBorders>
              <w:top w:val="single" w:sz="4" w:space="0" w:color="FFFFFF"/>
              <w:left w:val="single" w:sz="4" w:space="0" w:color="FFFFFF"/>
              <w:bottom w:val="single" w:sz="4" w:space="0" w:color="FFFFFF"/>
              <w:right w:val="single" w:sz="4" w:space="0" w:color="FFFFFF"/>
            </w:tcBorders>
            <w:shd w:val="clear" w:color="auto" w:fill="FDEADA"/>
          </w:tcPr>
          <w:p w14:paraId="06B788F0" w14:textId="77777777" w:rsidR="00BD1464" w:rsidRPr="00DA6B1C" w:rsidRDefault="00D307E8">
            <w:pPr>
              <w:jc w:val="both"/>
              <w:rPr>
                <w:rFonts w:ascii="Garamond" w:eastAsia="Arial" w:hAnsi="Garamond" w:cs="Arial"/>
                <w:sz w:val="24"/>
                <w:szCs w:val="24"/>
              </w:rPr>
            </w:pPr>
            <w:r w:rsidRPr="00DA6B1C">
              <w:rPr>
                <w:rFonts w:ascii="Garamond" w:eastAsia="Arial" w:hAnsi="Garamond" w:cs="Arial"/>
                <w:sz w:val="24"/>
                <w:szCs w:val="24"/>
              </w:rPr>
              <w:lastRenderedPageBreak/>
              <w:t>IX. Auteurs envisagés (statut et discipline, laboratoire, institution ou université de rattachement)</w:t>
            </w:r>
          </w:p>
        </w:tc>
      </w:tr>
      <w:tr w:rsidR="00BD1464" w:rsidRPr="00DA6B1C" w14:paraId="47CE228B" w14:textId="77777777">
        <w:trPr>
          <w:trHeight w:val="1040"/>
        </w:trPr>
        <w:tc>
          <w:tcPr>
            <w:tcW w:w="10456" w:type="dxa"/>
            <w:tcBorders>
              <w:top w:val="single" w:sz="4" w:space="0" w:color="FFFFFF"/>
              <w:left w:val="nil"/>
              <w:bottom w:val="nil"/>
              <w:right w:val="nil"/>
            </w:tcBorders>
            <w:shd w:val="clear" w:color="auto" w:fill="FFFFFF"/>
            <w:vAlign w:val="center"/>
          </w:tcPr>
          <w:p w14:paraId="74D95B2C" w14:textId="23BF64A4" w:rsidR="00BD1464" w:rsidRPr="00DA6B1C" w:rsidRDefault="00D307E8">
            <w:pPr>
              <w:jc w:val="both"/>
              <w:rPr>
                <w:rFonts w:ascii="Garamond" w:eastAsia="Arial" w:hAnsi="Garamond" w:cs="Arial"/>
                <w:sz w:val="24"/>
                <w:szCs w:val="24"/>
              </w:rPr>
            </w:pPr>
            <w:r w:rsidRPr="00DA6B1C">
              <w:rPr>
                <w:rFonts w:ascii="Garamond" w:eastAsia="Arial" w:hAnsi="Garamond" w:cs="Arial"/>
                <w:sz w:val="24"/>
                <w:szCs w:val="24"/>
              </w:rPr>
              <w:t xml:space="preserve">Veuillez préciser si, en dehors de l’appel à communication, certains textes feront l’objet d’une commande spécifique. </w:t>
            </w:r>
          </w:p>
          <w:p w14:paraId="76A50214" w14:textId="77777777" w:rsidR="00BD1464" w:rsidRPr="00DA6B1C" w:rsidRDefault="00BD1464">
            <w:pPr>
              <w:rPr>
                <w:rFonts w:ascii="Garamond" w:eastAsia="Arial" w:hAnsi="Garamond" w:cs="Arial"/>
                <w:sz w:val="24"/>
                <w:szCs w:val="24"/>
              </w:rPr>
            </w:pPr>
            <w:bookmarkStart w:id="1" w:name="_heading=h.gjdgxs" w:colFirst="0" w:colLast="0"/>
            <w:bookmarkEnd w:id="1"/>
          </w:p>
          <w:p w14:paraId="334DB965" w14:textId="77777777" w:rsidR="00BD1464" w:rsidRPr="00DA6B1C" w:rsidRDefault="00BD1464">
            <w:pPr>
              <w:rPr>
                <w:rFonts w:ascii="Garamond" w:eastAsia="Arial" w:hAnsi="Garamond" w:cs="Arial"/>
                <w:sz w:val="24"/>
                <w:szCs w:val="24"/>
              </w:rPr>
            </w:pPr>
          </w:p>
        </w:tc>
      </w:tr>
      <w:tr w:rsidR="00BD1464" w:rsidRPr="00DA6B1C" w14:paraId="66C01E85" w14:textId="77777777">
        <w:trPr>
          <w:trHeight w:val="260"/>
        </w:trPr>
        <w:tc>
          <w:tcPr>
            <w:tcW w:w="10456" w:type="dxa"/>
            <w:tcBorders>
              <w:top w:val="nil"/>
              <w:left w:val="nil"/>
              <w:bottom w:val="nil"/>
              <w:right w:val="nil"/>
            </w:tcBorders>
            <w:shd w:val="clear" w:color="auto" w:fill="FDEADA"/>
            <w:vAlign w:val="center"/>
          </w:tcPr>
          <w:p w14:paraId="4A1019F1" w14:textId="77777777" w:rsidR="00BD1464" w:rsidRPr="00DA6B1C" w:rsidRDefault="00D307E8">
            <w:pPr>
              <w:jc w:val="both"/>
              <w:rPr>
                <w:rFonts w:ascii="Garamond" w:eastAsia="Arial" w:hAnsi="Garamond" w:cs="Arial"/>
                <w:sz w:val="24"/>
                <w:szCs w:val="24"/>
              </w:rPr>
            </w:pPr>
            <w:r w:rsidRPr="00DA6B1C">
              <w:rPr>
                <w:rFonts w:ascii="Garamond" w:eastAsia="Arial" w:hAnsi="Garamond" w:cs="Arial"/>
                <w:sz w:val="24"/>
                <w:szCs w:val="24"/>
              </w:rPr>
              <w:t>X. Articles, organisation et sections envisagés au sein du numéro thématique (1 à 2 pages maximum)</w:t>
            </w:r>
          </w:p>
        </w:tc>
      </w:tr>
      <w:tr w:rsidR="00BD1464" w:rsidRPr="00DA6B1C" w14:paraId="3CF034EE" w14:textId="77777777">
        <w:trPr>
          <w:trHeight w:val="720"/>
        </w:trPr>
        <w:tc>
          <w:tcPr>
            <w:tcW w:w="10456" w:type="dxa"/>
            <w:tcBorders>
              <w:top w:val="nil"/>
              <w:left w:val="nil"/>
              <w:bottom w:val="nil"/>
              <w:right w:val="nil"/>
            </w:tcBorders>
            <w:shd w:val="clear" w:color="auto" w:fill="FFFFFF"/>
            <w:vAlign w:val="center"/>
          </w:tcPr>
          <w:p w14:paraId="735FCAB3" w14:textId="77777777" w:rsidR="00BD1464" w:rsidRPr="00DA6B1C" w:rsidRDefault="00BD1464">
            <w:pPr>
              <w:jc w:val="both"/>
              <w:rPr>
                <w:rFonts w:ascii="Garamond" w:eastAsia="Arial" w:hAnsi="Garamond" w:cs="Arial"/>
                <w:color w:val="4472C4"/>
                <w:sz w:val="24"/>
                <w:szCs w:val="24"/>
              </w:rPr>
            </w:pPr>
          </w:p>
        </w:tc>
      </w:tr>
      <w:tr w:rsidR="00BD1464" w:rsidRPr="00DA6B1C" w14:paraId="2AA91F82" w14:textId="77777777">
        <w:trPr>
          <w:trHeight w:val="260"/>
        </w:trPr>
        <w:tc>
          <w:tcPr>
            <w:tcW w:w="10456" w:type="dxa"/>
            <w:tcBorders>
              <w:top w:val="nil"/>
              <w:left w:val="nil"/>
              <w:bottom w:val="nil"/>
              <w:right w:val="nil"/>
            </w:tcBorders>
            <w:shd w:val="clear" w:color="auto" w:fill="FDEADA"/>
            <w:vAlign w:val="center"/>
          </w:tcPr>
          <w:p w14:paraId="662B6AB2" w14:textId="77777777" w:rsidR="00BD1464" w:rsidRPr="00DA6B1C" w:rsidRDefault="00D307E8">
            <w:pPr>
              <w:jc w:val="both"/>
              <w:rPr>
                <w:rFonts w:ascii="Garamond" w:eastAsia="Arial" w:hAnsi="Garamond" w:cs="Arial"/>
                <w:sz w:val="24"/>
                <w:szCs w:val="24"/>
              </w:rPr>
            </w:pPr>
            <w:r w:rsidRPr="00DA6B1C">
              <w:rPr>
                <w:rFonts w:ascii="Garamond" w:eastAsia="Arial" w:hAnsi="Garamond" w:cs="Arial"/>
                <w:sz w:val="24"/>
                <w:szCs w:val="24"/>
              </w:rPr>
              <w:t>XI. Types de ressources qui accompagneront éventuellement la mise en ligne du numéro thématique</w:t>
            </w:r>
          </w:p>
        </w:tc>
      </w:tr>
      <w:tr w:rsidR="00BD1464" w:rsidRPr="00DA6B1C" w14:paraId="70BA0E61" w14:textId="77777777">
        <w:trPr>
          <w:trHeight w:val="2560"/>
        </w:trPr>
        <w:tc>
          <w:tcPr>
            <w:tcW w:w="10456" w:type="dxa"/>
            <w:tcBorders>
              <w:top w:val="nil"/>
              <w:left w:val="nil"/>
              <w:bottom w:val="nil"/>
              <w:right w:val="nil"/>
            </w:tcBorders>
            <w:shd w:val="clear" w:color="auto" w:fill="FFFFFF"/>
            <w:vAlign w:val="center"/>
          </w:tcPr>
          <w:p w14:paraId="352A86D5" w14:textId="77777777" w:rsidR="00BD1464" w:rsidRPr="00DA6B1C" w:rsidRDefault="00D307E8">
            <w:pPr>
              <w:jc w:val="both"/>
              <w:rPr>
                <w:rFonts w:ascii="Garamond" w:eastAsia="Arial" w:hAnsi="Garamond" w:cs="Arial"/>
                <w:sz w:val="24"/>
                <w:szCs w:val="24"/>
              </w:rPr>
            </w:pPr>
            <w:r w:rsidRPr="00DA6B1C">
              <w:rPr>
                <w:rFonts w:ascii="Garamond" w:eastAsia="Arial" w:hAnsi="Garamond" w:cs="Arial"/>
                <w:sz w:val="24"/>
                <w:szCs w:val="24"/>
              </w:rPr>
              <w:t xml:space="preserve">Rappel : toute ressource visuelle ou sonore nécessite que soit élucidée la question des droits d’auteurs. Il revient au coordinateur du numéro ou aux auteurs concernés d’obtenir les autorisations de reproduction. </w:t>
            </w:r>
          </w:p>
          <w:p w14:paraId="3B837398" w14:textId="77777777" w:rsidR="00BD1464" w:rsidRPr="00DA6B1C" w:rsidRDefault="00BD1464">
            <w:pPr>
              <w:jc w:val="both"/>
              <w:rPr>
                <w:rFonts w:ascii="Garamond" w:eastAsia="Arial" w:hAnsi="Garamond" w:cs="Arial"/>
                <w:sz w:val="24"/>
                <w:szCs w:val="24"/>
              </w:rPr>
            </w:pPr>
          </w:p>
          <w:p w14:paraId="3CF65C5F" w14:textId="77777777" w:rsidR="00BD1464" w:rsidRPr="00DA6B1C" w:rsidRDefault="003B2289">
            <w:pPr>
              <w:jc w:val="center"/>
              <w:rPr>
                <w:rFonts w:ascii="Garamond" w:eastAsia="Arial" w:hAnsi="Garamond" w:cs="Arial"/>
                <w:sz w:val="24"/>
                <w:szCs w:val="24"/>
              </w:rPr>
            </w:pPr>
            <w:sdt>
              <w:sdtPr>
                <w:rPr>
                  <w:rFonts w:ascii="Garamond" w:hAnsi="Garamond"/>
                  <w:sz w:val="24"/>
                  <w:szCs w:val="24"/>
                </w:rPr>
                <w:tag w:val="goog_rdk_0"/>
                <w:id w:val="-1143815706"/>
              </w:sdtPr>
              <w:sdtEndPr/>
              <w:sdtContent>
                <w:r w:rsidR="00D307E8" w:rsidRPr="00DA6B1C">
                  <w:rPr>
                    <w:rFonts w:ascii="Minion Pro" w:eastAsia="Arial Unicode MS" w:hAnsi="Minion Pro" w:cs="Minion Pro"/>
                    <w:sz w:val="24"/>
                    <w:szCs w:val="24"/>
                  </w:rPr>
                  <w:t>☐</w:t>
                </w:r>
              </w:sdtContent>
            </w:sdt>
            <w:r w:rsidR="00D307E8" w:rsidRPr="00DA6B1C">
              <w:rPr>
                <w:rFonts w:ascii="Garamond" w:eastAsia="Arial" w:hAnsi="Garamond" w:cs="Arial"/>
                <w:sz w:val="24"/>
                <w:szCs w:val="24"/>
              </w:rPr>
              <w:t xml:space="preserve"> Documents sonores          </w:t>
            </w:r>
            <w:sdt>
              <w:sdtPr>
                <w:rPr>
                  <w:rFonts w:ascii="Garamond" w:hAnsi="Garamond"/>
                  <w:sz w:val="24"/>
                  <w:szCs w:val="24"/>
                </w:rPr>
                <w:tag w:val="goog_rdk_1"/>
                <w:id w:val="-191149185"/>
              </w:sdtPr>
              <w:sdtEndPr/>
              <w:sdtContent>
                <w:r w:rsidR="00D307E8" w:rsidRPr="00DA6B1C">
                  <w:rPr>
                    <w:rFonts w:ascii="Minion Pro" w:eastAsia="Arial Unicode MS" w:hAnsi="Minion Pro" w:cs="Minion Pro"/>
                    <w:sz w:val="24"/>
                    <w:szCs w:val="24"/>
                  </w:rPr>
                  <w:t>☐</w:t>
                </w:r>
              </w:sdtContent>
            </w:sdt>
            <w:r w:rsidR="00D307E8" w:rsidRPr="00DA6B1C">
              <w:rPr>
                <w:rFonts w:ascii="Garamond" w:eastAsia="Arial" w:hAnsi="Garamond" w:cs="Arial"/>
                <w:sz w:val="24"/>
                <w:szCs w:val="24"/>
              </w:rPr>
              <w:t xml:space="preserve"> Documents vidéographiques           </w:t>
            </w:r>
            <w:sdt>
              <w:sdtPr>
                <w:rPr>
                  <w:rFonts w:ascii="Garamond" w:hAnsi="Garamond"/>
                  <w:sz w:val="24"/>
                  <w:szCs w:val="24"/>
                </w:rPr>
                <w:tag w:val="goog_rdk_2"/>
                <w:id w:val="-1689517783"/>
              </w:sdtPr>
              <w:sdtEndPr/>
              <w:sdtContent>
                <w:r w:rsidR="00D307E8" w:rsidRPr="00DA6B1C">
                  <w:rPr>
                    <w:rFonts w:ascii="Minion Pro" w:eastAsia="Arial Unicode MS" w:hAnsi="Minion Pro" w:cs="Minion Pro"/>
                    <w:sz w:val="24"/>
                    <w:szCs w:val="24"/>
                  </w:rPr>
                  <w:t>☐</w:t>
                </w:r>
              </w:sdtContent>
            </w:sdt>
            <w:r w:rsidR="00D307E8" w:rsidRPr="00DA6B1C">
              <w:rPr>
                <w:rFonts w:ascii="Garamond" w:eastAsia="Arial" w:hAnsi="Garamond" w:cs="Arial"/>
                <w:sz w:val="24"/>
                <w:szCs w:val="24"/>
              </w:rPr>
              <w:t xml:space="preserve"> Documents graphiques            </w:t>
            </w:r>
            <w:sdt>
              <w:sdtPr>
                <w:rPr>
                  <w:rFonts w:ascii="Garamond" w:hAnsi="Garamond"/>
                  <w:sz w:val="24"/>
                  <w:szCs w:val="24"/>
                </w:rPr>
                <w:tag w:val="goog_rdk_3"/>
                <w:id w:val="-827209212"/>
              </w:sdtPr>
              <w:sdtEndPr/>
              <w:sdtContent>
                <w:r w:rsidR="00D307E8" w:rsidRPr="00DA6B1C">
                  <w:rPr>
                    <w:rFonts w:ascii="Minion Pro" w:eastAsia="Arial Unicode MS" w:hAnsi="Minion Pro" w:cs="Minion Pro"/>
                    <w:sz w:val="24"/>
                    <w:szCs w:val="24"/>
                  </w:rPr>
                  <w:t>☐</w:t>
                </w:r>
              </w:sdtContent>
            </w:sdt>
            <w:r w:rsidR="00D307E8" w:rsidRPr="00DA6B1C">
              <w:rPr>
                <w:rFonts w:ascii="Garamond" w:eastAsia="Arial" w:hAnsi="Garamond" w:cs="Arial"/>
                <w:sz w:val="24"/>
                <w:szCs w:val="24"/>
              </w:rPr>
              <w:t xml:space="preserve"> Autre type</w:t>
            </w:r>
          </w:p>
          <w:p w14:paraId="52426D4C" w14:textId="77777777" w:rsidR="00BD1464" w:rsidRPr="00DA6B1C" w:rsidRDefault="00BD1464">
            <w:pPr>
              <w:jc w:val="both"/>
              <w:rPr>
                <w:rFonts w:ascii="Garamond" w:eastAsia="Arial" w:hAnsi="Garamond" w:cs="Arial"/>
                <w:sz w:val="24"/>
                <w:szCs w:val="24"/>
              </w:rPr>
            </w:pPr>
          </w:p>
          <w:p w14:paraId="5967CCB5" w14:textId="77777777" w:rsidR="00BD1464" w:rsidRPr="00DA6B1C" w:rsidRDefault="00D307E8">
            <w:pPr>
              <w:jc w:val="both"/>
              <w:rPr>
                <w:rFonts w:ascii="Garamond" w:eastAsia="Arial" w:hAnsi="Garamond" w:cs="Arial"/>
                <w:sz w:val="24"/>
                <w:szCs w:val="24"/>
              </w:rPr>
            </w:pPr>
            <w:r w:rsidRPr="00DA6B1C">
              <w:rPr>
                <w:rFonts w:ascii="Garamond" w:eastAsia="Arial" w:hAnsi="Garamond" w:cs="Arial"/>
                <w:sz w:val="24"/>
                <w:szCs w:val="24"/>
              </w:rPr>
              <w:t xml:space="preserve">Dans le cas de documents sonores ou vidéographiques, précisez leur nature (captation artistique, support documentaire, entretien). </w:t>
            </w:r>
          </w:p>
          <w:p w14:paraId="7E251C42" w14:textId="77777777" w:rsidR="00BD1464" w:rsidRPr="00DA6B1C" w:rsidRDefault="00BD1464">
            <w:pPr>
              <w:jc w:val="both"/>
              <w:rPr>
                <w:rFonts w:ascii="Garamond" w:eastAsia="Arial" w:hAnsi="Garamond" w:cs="Arial"/>
                <w:color w:val="4472C4"/>
                <w:sz w:val="24"/>
                <w:szCs w:val="24"/>
              </w:rPr>
            </w:pPr>
          </w:p>
        </w:tc>
      </w:tr>
      <w:tr w:rsidR="00BD1464" w:rsidRPr="00DA6B1C" w14:paraId="5798298F" w14:textId="77777777">
        <w:trPr>
          <w:trHeight w:val="260"/>
        </w:trPr>
        <w:tc>
          <w:tcPr>
            <w:tcW w:w="10456" w:type="dxa"/>
            <w:tcBorders>
              <w:top w:val="nil"/>
              <w:left w:val="nil"/>
              <w:bottom w:val="nil"/>
              <w:right w:val="nil"/>
            </w:tcBorders>
            <w:shd w:val="clear" w:color="auto" w:fill="FDEADA"/>
            <w:vAlign w:val="center"/>
          </w:tcPr>
          <w:p w14:paraId="2CC68990" w14:textId="77777777" w:rsidR="00BD1464" w:rsidRPr="00DA6B1C" w:rsidRDefault="00D307E8">
            <w:pPr>
              <w:jc w:val="both"/>
              <w:rPr>
                <w:rFonts w:ascii="Garamond" w:eastAsia="Arial" w:hAnsi="Garamond" w:cs="Arial"/>
                <w:sz w:val="24"/>
                <w:szCs w:val="24"/>
              </w:rPr>
            </w:pPr>
            <w:r w:rsidRPr="00DA6B1C">
              <w:rPr>
                <w:rFonts w:ascii="Garamond" w:eastAsia="Arial" w:hAnsi="Garamond" w:cs="Arial"/>
                <w:sz w:val="24"/>
                <w:szCs w:val="24"/>
              </w:rPr>
              <w:t>XII. Calendrier prévisionnel de publication</w:t>
            </w:r>
          </w:p>
        </w:tc>
      </w:tr>
      <w:tr w:rsidR="00BD1464" w:rsidRPr="00DA6B1C" w14:paraId="4B199968" w14:textId="77777777">
        <w:trPr>
          <w:trHeight w:val="1280"/>
        </w:trPr>
        <w:tc>
          <w:tcPr>
            <w:tcW w:w="10456" w:type="dxa"/>
            <w:tcBorders>
              <w:top w:val="nil"/>
              <w:left w:val="nil"/>
              <w:bottom w:val="nil"/>
              <w:right w:val="nil"/>
            </w:tcBorders>
            <w:shd w:val="clear" w:color="auto" w:fill="FFFFFF"/>
            <w:vAlign w:val="center"/>
          </w:tcPr>
          <w:p w14:paraId="037F4166" w14:textId="77777777" w:rsidR="00BD1464" w:rsidRPr="00DA6B1C" w:rsidRDefault="00D307E8">
            <w:pPr>
              <w:jc w:val="both"/>
              <w:rPr>
                <w:rFonts w:ascii="Garamond" w:eastAsia="Arial" w:hAnsi="Garamond" w:cs="Arial"/>
                <w:sz w:val="24"/>
                <w:szCs w:val="24"/>
              </w:rPr>
            </w:pPr>
            <w:r w:rsidRPr="00DA6B1C">
              <w:rPr>
                <w:rFonts w:ascii="Garamond" w:eastAsia="Arial" w:hAnsi="Garamond" w:cs="Arial"/>
                <w:i/>
                <w:sz w:val="24"/>
                <w:szCs w:val="24"/>
              </w:rPr>
              <w:t>Déméter</w:t>
            </w:r>
            <w:r w:rsidRPr="00DA6B1C">
              <w:rPr>
                <w:rFonts w:ascii="Garamond" w:eastAsia="Arial" w:hAnsi="Garamond" w:cs="Arial"/>
                <w:sz w:val="24"/>
                <w:szCs w:val="24"/>
              </w:rPr>
              <w:t xml:space="preserve"> est une revue à publication semestrielle. Un délai indicatif de 12 mois est à prévoir entre l’acceptation d’une thématique et sa publication. Précisez le calendrier envisagé (pour l’appel à publication et pour la soumission des textes retenus par les responsables du numéro au comité de rédaction). </w:t>
            </w:r>
          </w:p>
          <w:p w14:paraId="43FC8F7D" w14:textId="77777777" w:rsidR="00BD1464" w:rsidRPr="00DA6B1C" w:rsidRDefault="00BD1464">
            <w:pPr>
              <w:jc w:val="both"/>
              <w:rPr>
                <w:rFonts w:ascii="Garamond" w:eastAsia="Arial" w:hAnsi="Garamond" w:cs="Arial"/>
                <w:sz w:val="24"/>
                <w:szCs w:val="24"/>
              </w:rPr>
            </w:pPr>
          </w:p>
        </w:tc>
      </w:tr>
      <w:tr w:rsidR="00F04FD3" w:rsidRPr="00DA6B1C" w14:paraId="33348016" w14:textId="77777777" w:rsidTr="00F04FD3">
        <w:trPr>
          <w:trHeight w:val="269"/>
        </w:trPr>
        <w:tc>
          <w:tcPr>
            <w:tcW w:w="10456" w:type="dxa"/>
            <w:tcBorders>
              <w:top w:val="nil"/>
              <w:left w:val="nil"/>
              <w:bottom w:val="nil"/>
              <w:right w:val="nil"/>
            </w:tcBorders>
            <w:shd w:val="clear" w:color="auto" w:fill="FDE9D9" w:themeFill="accent6" w:themeFillTint="33"/>
            <w:vAlign w:val="center"/>
          </w:tcPr>
          <w:p w14:paraId="301F134F" w14:textId="77777777" w:rsidR="00F04FD3" w:rsidRPr="00DA6B1C" w:rsidRDefault="00F04FD3">
            <w:pPr>
              <w:jc w:val="both"/>
              <w:rPr>
                <w:rFonts w:ascii="Garamond" w:eastAsia="Arial" w:hAnsi="Garamond" w:cs="Arial"/>
                <w:sz w:val="24"/>
                <w:szCs w:val="24"/>
              </w:rPr>
            </w:pPr>
            <w:r w:rsidRPr="00DA6B1C">
              <w:rPr>
                <w:rFonts w:ascii="Garamond" w:eastAsia="Arial" w:hAnsi="Garamond" w:cs="Arial"/>
                <w:sz w:val="24"/>
                <w:szCs w:val="24"/>
              </w:rPr>
              <w:t>XIII. Événement prévisionnel</w:t>
            </w:r>
          </w:p>
        </w:tc>
      </w:tr>
      <w:tr w:rsidR="00F04FD3" w:rsidRPr="00DA6B1C" w14:paraId="6B41B137" w14:textId="77777777" w:rsidTr="00F04FD3">
        <w:trPr>
          <w:trHeight w:val="269"/>
        </w:trPr>
        <w:tc>
          <w:tcPr>
            <w:tcW w:w="10456" w:type="dxa"/>
            <w:tcBorders>
              <w:top w:val="nil"/>
              <w:left w:val="nil"/>
              <w:bottom w:val="nil"/>
              <w:right w:val="nil"/>
            </w:tcBorders>
            <w:shd w:val="clear" w:color="auto" w:fill="auto"/>
            <w:vAlign w:val="center"/>
          </w:tcPr>
          <w:p w14:paraId="0022A34A" w14:textId="77777777" w:rsidR="00F04FD3" w:rsidRPr="00DA6B1C" w:rsidRDefault="00F04FD3">
            <w:pPr>
              <w:jc w:val="both"/>
              <w:rPr>
                <w:rFonts w:ascii="Garamond" w:eastAsia="Arial" w:hAnsi="Garamond" w:cs="Arial"/>
                <w:sz w:val="24"/>
                <w:szCs w:val="24"/>
              </w:rPr>
            </w:pPr>
          </w:p>
          <w:p w14:paraId="4BDEF273" w14:textId="77777777" w:rsidR="00F04FD3" w:rsidRPr="00DA6B1C" w:rsidRDefault="00F04FD3">
            <w:pPr>
              <w:jc w:val="both"/>
              <w:rPr>
                <w:rFonts w:ascii="Garamond" w:eastAsia="Arial" w:hAnsi="Garamond" w:cs="Arial"/>
                <w:sz w:val="24"/>
                <w:szCs w:val="24"/>
              </w:rPr>
            </w:pPr>
            <w:r w:rsidRPr="00DA6B1C">
              <w:rPr>
                <w:rFonts w:ascii="Garamond" w:eastAsia="Arial" w:hAnsi="Garamond" w:cs="Arial"/>
                <w:sz w:val="24"/>
                <w:szCs w:val="24"/>
              </w:rPr>
              <w:t>La sortie du numéro peut être accompagnée d’un projet d’événement (projection, spectacle vivant, conférences, journée d’étude) organisé par les responsables du numéro</w:t>
            </w:r>
            <w:r w:rsidRPr="00DA6B1C">
              <w:rPr>
                <w:rFonts w:ascii="Garamond" w:hAnsi="Garamond"/>
                <w:sz w:val="24"/>
                <w:szCs w:val="24"/>
              </w:rPr>
              <w:t xml:space="preserve"> </w:t>
            </w:r>
            <w:r w:rsidRPr="00DA6B1C">
              <w:rPr>
                <w:rFonts w:ascii="Garamond" w:eastAsia="Arial" w:hAnsi="Garamond" w:cs="Arial"/>
                <w:sz w:val="24"/>
                <w:szCs w:val="24"/>
              </w:rPr>
              <w:t xml:space="preserve">en collaboration avec l’équipe de </w:t>
            </w:r>
            <w:r w:rsidRPr="00DA6B1C">
              <w:rPr>
                <w:rFonts w:ascii="Garamond" w:eastAsia="Arial" w:hAnsi="Garamond" w:cs="Arial"/>
                <w:i/>
                <w:sz w:val="24"/>
                <w:szCs w:val="24"/>
              </w:rPr>
              <w:t>Déméter</w:t>
            </w:r>
            <w:r w:rsidRPr="00DA6B1C">
              <w:rPr>
                <w:rFonts w:ascii="Garamond" w:eastAsia="Arial" w:hAnsi="Garamond" w:cs="Arial"/>
                <w:sz w:val="24"/>
                <w:szCs w:val="24"/>
              </w:rPr>
              <w:t>.</w:t>
            </w:r>
          </w:p>
          <w:p w14:paraId="4307F1D5" w14:textId="77777777" w:rsidR="00F04FD3" w:rsidRPr="00DA6B1C" w:rsidRDefault="00F04FD3">
            <w:pPr>
              <w:jc w:val="both"/>
              <w:rPr>
                <w:rFonts w:ascii="Garamond" w:eastAsia="Arial" w:hAnsi="Garamond" w:cs="Arial"/>
                <w:sz w:val="24"/>
                <w:szCs w:val="24"/>
              </w:rPr>
            </w:pPr>
          </w:p>
          <w:p w14:paraId="22D54841" w14:textId="77777777" w:rsidR="00F04FD3" w:rsidRPr="00DA6B1C" w:rsidRDefault="00F04FD3">
            <w:pPr>
              <w:jc w:val="both"/>
              <w:rPr>
                <w:rFonts w:ascii="Garamond" w:eastAsia="Arial" w:hAnsi="Garamond" w:cs="Arial"/>
                <w:sz w:val="24"/>
                <w:szCs w:val="24"/>
              </w:rPr>
            </w:pPr>
          </w:p>
        </w:tc>
      </w:tr>
      <w:tr w:rsidR="00BD1464" w:rsidRPr="00DA6B1C" w14:paraId="5A15EBBA" w14:textId="77777777">
        <w:trPr>
          <w:trHeight w:val="260"/>
        </w:trPr>
        <w:tc>
          <w:tcPr>
            <w:tcW w:w="10456" w:type="dxa"/>
            <w:tcBorders>
              <w:top w:val="nil"/>
              <w:left w:val="nil"/>
              <w:bottom w:val="nil"/>
              <w:right w:val="nil"/>
            </w:tcBorders>
            <w:shd w:val="clear" w:color="auto" w:fill="FDEADA"/>
          </w:tcPr>
          <w:p w14:paraId="52386F62" w14:textId="77777777" w:rsidR="00BD1464" w:rsidRPr="00DA6B1C" w:rsidRDefault="00D307E8">
            <w:pPr>
              <w:jc w:val="both"/>
              <w:rPr>
                <w:rFonts w:ascii="Garamond" w:eastAsia="Arial" w:hAnsi="Garamond" w:cs="Arial"/>
                <w:sz w:val="24"/>
                <w:szCs w:val="24"/>
              </w:rPr>
            </w:pPr>
            <w:r w:rsidRPr="00DA6B1C">
              <w:rPr>
                <w:rFonts w:ascii="Garamond" w:eastAsia="Arial" w:hAnsi="Garamond" w:cs="Arial"/>
                <w:sz w:val="24"/>
                <w:szCs w:val="24"/>
              </w:rPr>
              <w:t>X</w:t>
            </w:r>
            <w:r w:rsidR="00F04FD3" w:rsidRPr="00DA6B1C">
              <w:rPr>
                <w:rFonts w:ascii="Garamond" w:eastAsia="Arial" w:hAnsi="Garamond" w:cs="Arial"/>
                <w:sz w:val="24"/>
                <w:szCs w:val="24"/>
              </w:rPr>
              <w:t>IV</w:t>
            </w:r>
            <w:r w:rsidRPr="00DA6B1C">
              <w:rPr>
                <w:rFonts w:ascii="Garamond" w:eastAsia="Arial" w:hAnsi="Garamond" w:cs="Arial"/>
                <w:sz w:val="24"/>
                <w:szCs w:val="24"/>
              </w:rPr>
              <w:t>. Documents à transmettre en annexe</w:t>
            </w:r>
          </w:p>
        </w:tc>
      </w:tr>
      <w:tr w:rsidR="00BD1464" w:rsidRPr="00DA6B1C" w14:paraId="624F7ECA" w14:textId="77777777">
        <w:trPr>
          <w:trHeight w:val="1020"/>
        </w:trPr>
        <w:tc>
          <w:tcPr>
            <w:tcW w:w="10456" w:type="dxa"/>
            <w:tcBorders>
              <w:top w:val="nil"/>
              <w:left w:val="nil"/>
              <w:bottom w:val="nil"/>
              <w:right w:val="nil"/>
            </w:tcBorders>
            <w:shd w:val="clear" w:color="auto" w:fill="FFFFFF"/>
          </w:tcPr>
          <w:p w14:paraId="16011258" w14:textId="77777777" w:rsidR="00BD1464" w:rsidRPr="00DA6B1C" w:rsidRDefault="00BD1464">
            <w:pPr>
              <w:jc w:val="both"/>
              <w:rPr>
                <w:rFonts w:ascii="Garamond" w:eastAsia="Arial" w:hAnsi="Garamond" w:cs="Arial"/>
                <w:sz w:val="24"/>
                <w:szCs w:val="24"/>
              </w:rPr>
            </w:pPr>
          </w:p>
          <w:p w14:paraId="4229704B" w14:textId="77777777" w:rsidR="00BD1464" w:rsidRPr="00DA6B1C" w:rsidRDefault="00D307E8">
            <w:pPr>
              <w:jc w:val="both"/>
              <w:rPr>
                <w:rFonts w:ascii="Garamond" w:eastAsia="Arial" w:hAnsi="Garamond" w:cs="Arial"/>
                <w:sz w:val="24"/>
                <w:szCs w:val="24"/>
                <w:u w:val="single"/>
              </w:rPr>
            </w:pPr>
            <w:r w:rsidRPr="00DA6B1C">
              <w:rPr>
                <w:rFonts w:ascii="Garamond" w:eastAsia="Arial" w:hAnsi="Garamond" w:cs="Arial"/>
                <w:sz w:val="24"/>
                <w:szCs w:val="24"/>
              </w:rPr>
              <w:t>- Le CV des coordinateurs,</w:t>
            </w:r>
          </w:p>
          <w:p w14:paraId="4AC5BB2C" w14:textId="77777777" w:rsidR="00BD1464" w:rsidRPr="00DA6B1C" w:rsidRDefault="00D307E8">
            <w:pPr>
              <w:jc w:val="both"/>
              <w:rPr>
                <w:rFonts w:ascii="Garamond" w:eastAsia="Arial" w:hAnsi="Garamond" w:cs="Arial"/>
                <w:sz w:val="24"/>
                <w:szCs w:val="24"/>
              </w:rPr>
            </w:pPr>
            <w:r w:rsidRPr="00DA6B1C">
              <w:rPr>
                <w:rFonts w:ascii="Garamond" w:eastAsia="Arial" w:hAnsi="Garamond" w:cs="Arial"/>
                <w:sz w:val="24"/>
                <w:szCs w:val="24"/>
              </w:rPr>
              <w:t>- Une liste indicative de spécialistes internationaux susceptibles d’être sollicités pour les expertises,</w:t>
            </w:r>
          </w:p>
          <w:p w14:paraId="1EAA5D3B" w14:textId="77777777" w:rsidR="00BD1464" w:rsidRPr="00DA6B1C" w:rsidRDefault="00D307E8">
            <w:pPr>
              <w:jc w:val="both"/>
              <w:rPr>
                <w:rFonts w:ascii="Garamond" w:eastAsia="Arial" w:hAnsi="Garamond" w:cs="Arial"/>
                <w:sz w:val="24"/>
                <w:szCs w:val="24"/>
              </w:rPr>
            </w:pPr>
            <w:r w:rsidRPr="00DA6B1C">
              <w:rPr>
                <w:rFonts w:ascii="Garamond" w:eastAsia="Arial" w:hAnsi="Garamond" w:cs="Arial"/>
                <w:sz w:val="24"/>
                <w:szCs w:val="24"/>
              </w:rPr>
              <w:t xml:space="preserve">- Le projet d’appel à publication, </w:t>
            </w:r>
          </w:p>
          <w:p w14:paraId="08C75689" w14:textId="77777777" w:rsidR="00BD1464" w:rsidRPr="00DA6B1C" w:rsidRDefault="00D307E8">
            <w:pPr>
              <w:jc w:val="both"/>
              <w:rPr>
                <w:rFonts w:ascii="Garamond" w:eastAsia="Arial" w:hAnsi="Garamond" w:cs="Arial"/>
                <w:sz w:val="24"/>
                <w:szCs w:val="24"/>
              </w:rPr>
            </w:pPr>
            <w:r w:rsidRPr="00DA6B1C">
              <w:rPr>
                <w:rFonts w:ascii="Garamond" w:eastAsia="Arial" w:hAnsi="Garamond" w:cs="Arial"/>
                <w:sz w:val="24"/>
                <w:szCs w:val="24"/>
              </w:rPr>
              <w:t xml:space="preserve">- Toute information complémentaire utile à soumettre au comité de rédaction. </w:t>
            </w:r>
          </w:p>
        </w:tc>
      </w:tr>
    </w:tbl>
    <w:p w14:paraId="1EBFEDFE" w14:textId="77777777" w:rsidR="00BD1464" w:rsidRPr="00DA6B1C" w:rsidRDefault="00BD1464">
      <w:pPr>
        <w:rPr>
          <w:rFonts w:ascii="Garamond" w:eastAsia="Arial" w:hAnsi="Garamond" w:cs="Arial"/>
          <w:color w:val="4472C4"/>
          <w:sz w:val="24"/>
          <w:szCs w:val="24"/>
        </w:rPr>
      </w:pPr>
      <w:bookmarkStart w:id="2" w:name="_heading=h.30j0zll" w:colFirst="0" w:colLast="0"/>
      <w:bookmarkEnd w:id="2"/>
    </w:p>
    <w:sectPr w:rsidR="00BD1464" w:rsidRPr="00DA6B1C">
      <w:headerReference w:type="even" r:id="rId10"/>
      <w:headerReference w:type="default" r:id="rId11"/>
      <w:footerReference w:type="even" r:id="rId12"/>
      <w:footerReference w:type="default" r:id="rId13"/>
      <w:headerReference w:type="first" r:id="rId14"/>
      <w:footerReference w:type="first" r:id="rId15"/>
      <w:pgSz w:w="11906" w:h="16838"/>
      <w:pgMar w:top="720" w:right="720" w:bottom="567" w:left="720" w:header="0" w:footer="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49A16" w14:textId="77777777" w:rsidR="00D307E8" w:rsidRDefault="00D307E8">
      <w:pPr>
        <w:spacing w:after="0" w:line="240" w:lineRule="auto"/>
      </w:pPr>
      <w:r>
        <w:separator/>
      </w:r>
    </w:p>
  </w:endnote>
  <w:endnote w:type="continuationSeparator" w:id="0">
    <w:p w14:paraId="7A928D21" w14:textId="77777777" w:rsidR="00D307E8" w:rsidRDefault="00D30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Minion Pro">
    <w:panose1 w:val="02040503050201020203"/>
    <w:charset w:val="00"/>
    <w:family w:val="auto"/>
    <w:pitch w:val="variable"/>
    <w:sig w:usb0="60000287" w:usb1="00000001" w:usb2="00000000" w:usb3="00000000" w:csb0="0000019F" w:csb1="00000000"/>
  </w:font>
  <w:font w:name="Arial Unicode MS">
    <w:panose1 w:val="020B0604020202020204"/>
    <w:charset w:val="4E"/>
    <w:family w:val="auto"/>
    <w:pitch w:val="variable"/>
    <w:sig w:usb0="F7FFAFFF" w:usb1="E9DFFFFF" w:usb2="0000003F" w:usb3="00000000" w:csb0="0002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B7127" w14:textId="77777777" w:rsidR="00BD1464" w:rsidRDefault="00BD1464">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836CB" w14:textId="77777777" w:rsidR="00BD1464" w:rsidRDefault="00D307E8">
    <w:pPr>
      <w:pBdr>
        <w:top w:val="nil"/>
        <w:left w:val="nil"/>
        <w:bottom w:val="nil"/>
        <w:right w:val="nil"/>
        <w:between w:val="nil"/>
      </w:pBdr>
      <w:tabs>
        <w:tab w:val="center" w:pos="4536"/>
        <w:tab w:val="right" w:pos="9072"/>
      </w:tabs>
      <w:spacing w:after="0" w:line="240" w:lineRule="auto"/>
      <w:jc w:val="right"/>
      <w:rPr>
        <w:color w:val="000000"/>
      </w:rPr>
    </w:pPr>
    <w:r>
      <w:rPr>
        <w:i/>
        <w:color w:val="AEAAAA"/>
        <w:sz w:val="18"/>
        <w:szCs w:val="18"/>
      </w:rPr>
      <w:t xml:space="preserve">Projet de publication de numéro thématique, revue Déméter, version au </w:t>
    </w:r>
    <w:r w:rsidR="0095376E">
      <w:rPr>
        <w:i/>
        <w:color w:val="AEAAAA"/>
        <w:sz w:val="18"/>
        <w:szCs w:val="18"/>
      </w:rPr>
      <w:t>28</w:t>
    </w:r>
    <w:r>
      <w:rPr>
        <w:i/>
        <w:color w:val="AEAAAA"/>
        <w:sz w:val="18"/>
        <w:szCs w:val="18"/>
      </w:rPr>
      <w:t>-</w:t>
    </w:r>
    <w:r w:rsidR="0095376E">
      <w:rPr>
        <w:i/>
        <w:color w:val="AEAAAA"/>
        <w:sz w:val="18"/>
        <w:szCs w:val="18"/>
      </w:rPr>
      <w:t>10</w:t>
    </w:r>
    <w:r>
      <w:rPr>
        <w:i/>
        <w:color w:val="AEAAAA"/>
        <w:sz w:val="18"/>
        <w:szCs w:val="18"/>
      </w:rPr>
      <w:t>-2019</w:t>
    </w:r>
    <w:r>
      <w:rPr>
        <w:i/>
        <w:color w:val="AEAAAA"/>
        <w:sz w:val="20"/>
        <w:szCs w:val="20"/>
      </w:rPr>
      <w:t xml:space="preserve">  </w:t>
    </w:r>
    <w:r>
      <w:rPr>
        <w:color w:val="000000"/>
        <w:sz w:val="20"/>
        <w:szCs w:val="20"/>
      </w:rP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3B2289">
      <w:rPr>
        <w:noProof/>
        <w:color w:val="000000"/>
      </w:rPr>
      <w:t>1</w:t>
    </w:r>
    <w:r>
      <w:rPr>
        <w:color w:val="000000"/>
      </w:rPr>
      <w:fldChar w:fldCharType="end"/>
    </w:r>
  </w:p>
  <w:p w14:paraId="464AEA7A" w14:textId="77777777" w:rsidR="00BD1464" w:rsidRDefault="00BD1464">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32C4F" w14:textId="77777777" w:rsidR="00BD1464" w:rsidRDefault="00BD146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CE56F" w14:textId="77777777" w:rsidR="00D307E8" w:rsidRDefault="00D307E8">
      <w:pPr>
        <w:spacing w:after="0" w:line="240" w:lineRule="auto"/>
      </w:pPr>
      <w:r>
        <w:separator/>
      </w:r>
    </w:p>
  </w:footnote>
  <w:footnote w:type="continuationSeparator" w:id="0">
    <w:p w14:paraId="1DD39AD5" w14:textId="77777777" w:rsidR="00D307E8" w:rsidRDefault="00D307E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C09DC" w14:textId="77777777" w:rsidR="00BD1464" w:rsidRDefault="00BD1464">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AB3B" w14:textId="77777777" w:rsidR="00BD1464" w:rsidRDefault="00BD1464">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1E976" w14:textId="77777777" w:rsidR="00BD1464" w:rsidRDefault="00BD1464">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1567C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464"/>
    <w:rsid w:val="00202ACF"/>
    <w:rsid w:val="00332851"/>
    <w:rsid w:val="003B2289"/>
    <w:rsid w:val="003B5650"/>
    <w:rsid w:val="0095376E"/>
    <w:rsid w:val="00BD1464"/>
    <w:rsid w:val="00D307E8"/>
    <w:rsid w:val="00DA6B1C"/>
    <w:rsid w:val="00F04FD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C2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pcEWkav0Le998xytRdbk+SHORg==">AMUW2mVVbQod791xZ1iIV/6uX3luPzPGxq1nNoGsYjc/HBRbc2tSljSZzMSodyO9sOhWwedb2iXO82uWjxZJrfm6hxZoIzzdcgnK7J9hP+8fCwnlduKZT9a2C2BLDDZ/aysqZtSSoOM29GDwr3JIKB9II2GXYmnbbD2FTtebH6fFHHAEzCi6SPy8k7T6N4XWwkkAoT3mhO4h+/Ko1VBGQT2DvKDE227UpCpgrKxvJvkOM60bQyKFAJAqjxKvp3l7DsR19oG3RpFiEvGj3gcw2TUUH+y6xsfgR0wUZYgBorhekxpjw+nlBBw2gWhehYRE+HM5W0WRNkuylM27I4F1lz7MbAjCDNJSOr6eiVOXlP5nJ6sF5fMvDbKRrJ/P5eCoLMrrFKwRgnWtZmt3X/QZIDGGTJhuFxk2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496</Words>
  <Characters>2730</Characters>
  <Application>Microsoft Macintosh Word</Application>
  <DocSecurity>0</DocSecurity>
  <Lines>22</Lines>
  <Paragraphs>6</Paragraphs>
  <ScaleCrop>false</ScaleCrop>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Rafistolet Prolepse</dc:creator>
  <cp:lastModifiedBy>Joséphine Jibokji</cp:lastModifiedBy>
  <cp:revision>8</cp:revision>
  <dcterms:created xsi:type="dcterms:W3CDTF">2019-06-08T11:27:00Z</dcterms:created>
  <dcterms:modified xsi:type="dcterms:W3CDTF">2019-10-28T12:01:00Z</dcterms:modified>
</cp:coreProperties>
</file>